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90" w:type="dxa"/>
        <w:jc w:val="left"/>
        <w:tblInd w:w="-1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6855"/>
        <w:gridCol w:w="2835"/>
      </w:tblGrid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spacing w:before="0" w:after="200"/>
              <w:jc w:val="center"/>
              <w:rPr/>
            </w:pPr>
            <w:r>
              <w:rPr>
                <w:b/>
              </w:rPr>
              <w:t xml:space="preserve">A </w:t>
            </w:r>
            <w:r>
              <w:rPr>
                <w:b/>
                <w:u w:val="single"/>
              </w:rPr>
              <w:t>FAIRE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spacing w:before="0" w:after="200"/>
              <w:rPr>
                <w:u w:val="single"/>
              </w:rPr>
            </w:pPr>
            <w:r>
              <w:rPr>
                <w:b/>
                <w:u w:val="single"/>
              </w:rPr>
              <w:t>QUI S’EN CHARGE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0"/>
              </w:numPr>
              <w:tabs>
                <w:tab w:val="left" w:pos="390" w:leader="none"/>
                <w:tab w:val="left" w:pos="675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>Fixer date pour inventaire : ok 14/11 à 15h sur place</w:t>
            </w:r>
          </w:p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>Finir de faire estimation objets  sur inventaire</w:t>
            </w:r>
          </w:p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 xml:space="preserve">Trouver un coffre 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rPr/>
            </w:pPr>
            <w:r>
              <w:rPr/>
              <w:t xml:space="preserve">JP + </w:t>
            </w:r>
            <w:r>
              <w:rPr/>
              <w:t>Michel</w:t>
            </w:r>
          </w:p>
          <w:p>
            <w:pPr>
              <w:pStyle w:val="Standard"/>
              <w:rPr/>
            </w:pPr>
            <w:r>
              <w:rPr/>
              <w:t>Tous les 3, séparément</w:t>
            </w:r>
          </w:p>
          <w:p>
            <w:pPr>
              <w:pStyle w:val="Standard"/>
              <w:spacing w:before="0" w:after="200"/>
              <w:rPr/>
            </w:pPr>
            <w:r>
              <w:rPr/>
              <w:t>?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>Récupérer chez le notaire le doc. original du lotissement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spacing w:before="0" w:after="200"/>
              <w:rPr/>
            </w:pPr>
            <w:r>
              <w:rPr/>
              <w:t>Michel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>Trouver un assureur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Michel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 xml:space="preserve">Finir l’inventaire </w:t>
            </w:r>
            <w:r>
              <w:rPr/>
              <w:t>garage, atelier, cabanon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JP + Michel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>Relire papiers Maman pour éventuelle infos sur les biens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>Isabelle : avancement 90%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 xml:space="preserve">S’informer sur les possibilités et le </w:t>
            </w:r>
            <w:r>
              <w:rPr/>
              <w:t>coût</w:t>
            </w:r>
            <w:r>
              <w:rPr/>
              <w:t xml:space="preserve"> de faire lotir le terrain et de faire démolir la maison (Urbanisme mairie, copains dans l’immobilier,…) ; vente en l’état,…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  <w:t xml:space="preserve">Michel : avancement </w:t>
            </w:r>
            <w:r>
              <w:rPr/>
              <w:t>8</w:t>
            </w:r>
            <w:r>
              <w:rPr/>
              <w:t>0%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>Free : payement sur compte Michel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spacing w:before="0" w:after="200"/>
              <w:rPr/>
            </w:pPr>
            <w:r>
              <w:rPr/>
              <w:t>Michel fait 100 % ?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>Prendre contact avec les voisins : fait avec Bourbousson. Eux aussi songent à un détachement de parcelle pour vendre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spacing w:before="0" w:after="200"/>
              <w:rPr/>
            </w:pPr>
            <w:r>
              <w:rPr/>
              <w:t>Isabelle : avancement 50 %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>Estimation de vente en l'état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spacing w:before="0" w:after="200"/>
              <w:rPr/>
            </w:pPr>
            <w:r>
              <w:rPr/>
              <w:t>JP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>S'informer pour éviter taxe d'habitation à partir de 1/1/2017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spacing w:before="0" w:after="200"/>
              <w:rPr/>
            </w:pPr>
            <w:r>
              <w:rPr/>
              <w:t>JP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  <w:t xml:space="preserve">Contrats eau, gaz, électricité, téléphone : cela ne </w:t>
            </w:r>
            <w:r>
              <w:rPr/>
              <w:t>coûte</w:t>
            </w:r>
            <w:r>
              <w:rPr/>
              <w:t xml:space="preserve"> rien on garde tout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>
                <w:shd w:fill="FF3366" w:val="clear"/>
              </w:rPr>
              <w:t>METTR</w:t>
            </w:r>
            <w:r>
              <w:rPr>
                <w:shd w:fill="FF3366" w:val="clear"/>
              </w:rPr>
              <w:t>E</w:t>
            </w:r>
            <w:r>
              <w:rPr>
                <w:shd w:fill="FF3366" w:val="clear"/>
              </w:rPr>
              <w:t xml:space="preserve"> HORS GEL</w:t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spacing w:before="0" w:after="200"/>
              <w:rPr/>
            </w:pPr>
            <w:r>
              <w:rPr/>
              <w:t>JP</w:t>
            </w:r>
          </w:p>
        </w:tc>
      </w:tr>
      <w:tr>
        <w:trPr/>
        <w:tc>
          <w:tcPr>
            <w:tcW w:w="6855" w:type="dxa"/>
            <w:tcBorders/>
            <w:shd w:color="auto" w:fill="auto" w:val="clear"/>
          </w:tcPr>
          <w:p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390" w:leader="none"/>
              </w:tabs>
              <w:suppressAutoHyphens w:val="true"/>
              <w:bidi w:val="0"/>
              <w:spacing w:lineRule="auto" w:line="276" w:before="0" w:after="200"/>
              <w:ind w:left="397" w:right="0" w:hanging="397"/>
              <w:jc w:val="left"/>
              <w:rPr/>
            </w:pPr>
            <w:r>
              <w:rPr/>
            </w:r>
          </w:p>
        </w:tc>
        <w:tc>
          <w:tcPr>
            <w:tcW w:w="2835" w:type="dxa"/>
            <w:tcBorders/>
            <w:shd w:color="auto" w:fill="auto" w:val="clear"/>
          </w:tcPr>
          <w:p>
            <w:pPr>
              <w:pStyle w:val="Standard"/>
              <w:widowControl/>
              <w:tabs>
                <w:tab w:val="left" w:pos="708" w:leader="none"/>
              </w:tabs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Standard"/>
        <w:rPr/>
      </w:pPr>
      <w:r>
        <w:rPr/>
      </w:r>
    </w:p>
    <w:p>
      <w:pPr>
        <w:pStyle w:val="ListParagraph"/>
        <w:rPr/>
      </w:pPr>
      <w:r>
        <w:rPr/>
        <w:t>NB :  DOSSIERS ADMINISTRATIFS</w:t>
      </w:r>
    </w:p>
    <w:p>
      <w:pPr>
        <w:pStyle w:val="ListParagraph"/>
        <w:rPr/>
      </w:pPr>
      <w:r>
        <w:rPr/>
        <w:t>chez JP : pension, LBP, Matmut, Aide Ménagère</w:t>
      </w:r>
    </w:p>
    <w:p>
      <w:pPr>
        <w:pStyle w:val="ListParagraph"/>
        <w:spacing w:before="0" w:after="200"/>
        <w:rPr/>
      </w:pPr>
      <w:r>
        <w:rPr/>
        <w:t xml:space="preserve">sur place : </w:t>
      </w:r>
    </w:p>
    <w:sectPr>
      <w:type w:val="nextPage"/>
      <w:pgSz w:w="11906" w:h="16838"/>
      <w:pgMar w:left="1134" w:right="1133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fr-FR" w:eastAsia="fr-FR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/>
  </w:style>
  <w:style w:type="character" w:styleId="ListLabel2" w:customStyle="1">
    <w:name w:val="ListLabel 2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Standard"/>
    <w:pPr>
      <w:spacing w:before="0" w:after="120"/>
    </w:pPr>
    <w:rPr/>
  </w:style>
  <w:style w:type="paragraph" w:styleId="Elenco">
    <w:name w:val="Elenco"/>
    <w:basedOn w:val="Corpodeltesto"/>
    <w:pPr/>
    <w:rPr>
      <w:rFonts w:cs="DejaVu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DejaVu Sans"/>
    </w:rPr>
  </w:style>
  <w:style w:type="paragraph" w:styleId="Standard" w:customStyle="1">
    <w:name w:val="Standard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Droid Sans" w:cs="" w:asciiTheme="minorHAnsi" w:cstheme="minorBidi" w:hAnsiTheme="minorHAnsi"/>
      <w:color w:val="auto"/>
      <w:sz w:val="22"/>
      <w:szCs w:val="22"/>
      <w:lang w:eastAsia="en-US" w:val="fr-FR" w:bidi="ar-SA"/>
    </w:rPr>
  </w:style>
  <w:style w:type="paragraph" w:styleId="Titoloprincipale">
    <w:name w:val="Titolo principale"/>
    <w:basedOn w:val="Standard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Quotations">
    <w:name w:val="Quotations"/>
    <w:basedOn w:val="Normal"/>
    <w:qFormat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LibreOffice/4.4.7.2$Windows_x86 LibreOffice_project/f3153a8b245191196a4b6b9abd1d0da16eead600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2016-10-23T19:58:00Z</dcterms:created>
  <dc:creator>michelo</dc:creator>
  <dc:language>fr-FR</dc:language>
  <dcterms:modified xsi:type="dcterms:W3CDTF">2016-10-30T19:10:16Z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